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50A" w:rsidRPr="0038150A" w:rsidRDefault="00D03199" w:rsidP="0038150A">
      <w:pPr>
        <w:pStyle w:val="a5"/>
        <w:spacing w:line="600" w:lineRule="exact"/>
        <w:jc w:val="center"/>
        <w:rPr>
          <w:rFonts w:ascii="微软雅黑" w:eastAsia="微软雅黑" w:hAnsi="微软雅黑" w:cs="宋体"/>
          <w:b/>
          <w:color w:val="7030A0"/>
          <w:sz w:val="40"/>
          <w:szCs w:val="40"/>
        </w:rPr>
      </w:pPr>
      <w:r w:rsidRPr="0038150A">
        <w:rPr>
          <w:rFonts w:ascii="微软雅黑" w:eastAsia="微软雅黑" w:hAnsi="微软雅黑" w:cs="宋体" w:hint="eastAsia"/>
          <w:b/>
          <w:color w:val="7030A0"/>
          <w:sz w:val="40"/>
          <w:szCs w:val="40"/>
        </w:rPr>
        <w:t>最高人民法院关于审理</w:t>
      </w:r>
    </w:p>
    <w:p w:rsidR="00D03199" w:rsidRPr="0038150A" w:rsidRDefault="00D03199" w:rsidP="0038150A">
      <w:pPr>
        <w:pStyle w:val="a5"/>
        <w:spacing w:line="600" w:lineRule="exact"/>
        <w:jc w:val="center"/>
        <w:rPr>
          <w:rFonts w:ascii="微软雅黑" w:eastAsia="微软雅黑" w:hAnsi="微软雅黑" w:cs="宋体"/>
          <w:b/>
          <w:color w:val="7030A0"/>
          <w:sz w:val="40"/>
          <w:szCs w:val="40"/>
        </w:rPr>
      </w:pPr>
      <w:r w:rsidRPr="0038150A">
        <w:rPr>
          <w:rFonts w:ascii="微软雅黑" w:eastAsia="微软雅黑" w:hAnsi="微软雅黑" w:cs="宋体" w:hint="eastAsia"/>
          <w:b/>
          <w:color w:val="7030A0"/>
          <w:sz w:val="40"/>
          <w:szCs w:val="40"/>
        </w:rPr>
        <w:t>民事案件适用诉讼时效制度若干问题的规定</w:t>
      </w:r>
    </w:p>
    <w:p w:rsidR="00D03199" w:rsidRDefault="00D03199" w:rsidP="0038150A">
      <w:pPr>
        <w:pStyle w:val="a5"/>
        <w:spacing w:line="240" w:lineRule="exact"/>
        <w:jc w:val="center"/>
        <w:rPr>
          <w:rFonts w:ascii="微软雅黑" w:eastAsia="微软雅黑" w:hAnsi="微软雅黑" w:cs="宋体"/>
          <w:sz w:val="22"/>
          <w:szCs w:val="22"/>
        </w:rPr>
      </w:pPr>
    </w:p>
    <w:p w:rsidR="0038150A" w:rsidRDefault="0038150A" w:rsidP="0038150A">
      <w:pPr>
        <w:pStyle w:val="a5"/>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38150A" w:rsidRDefault="0038150A" w:rsidP="0038150A">
      <w:pPr>
        <w:pStyle w:val="a5"/>
        <w:spacing w:line="240" w:lineRule="exact"/>
        <w:jc w:val="center"/>
        <w:rPr>
          <w:rFonts w:ascii="微软雅黑" w:eastAsia="微软雅黑" w:hAnsi="微软雅黑" w:cs="宋体"/>
          <w:sz w:val="22"/>
          <w:szCs w:val="22"/>
        </w:rPr>
      </w:pPr>
    </w:p>
    <w:p w:rsidR="0038150A" w:rsidRDefault="0038150A" w:rsidP="0038150A">
      <w:pPr>
        <w:pStyle w:val="a5"/>
        <w:spacing w:line="240" w:lineRule="exact"/>
        <w:jc w:val="center"/>
        <w:rPr>
          <w:rFonts w:ascii="微软雅黑" w:eastAsia="微软雅黑" w:hAnsi="微软雅黑" w:cs="宋体" w:hint="eastAsia"/>
          <w:sz w:val="22"/>
          <w:szCs w:val="22"/>
        </w:rPr>
      </w:pPr>
      <w:r w:rsidRPr="0038150A">
        <w:rPr>
          <w:rFonts w:ascii="微软雅黑" w:eastAsia="微软雅黑" w:hAnsi="微软雅黑" w:cs="宋体" w:hint="eastAsia"/>
          <w:sz w:val="22"/>
          <w:szCs w:val="22"/>
        </w:rPr>
        <w:t>法释〔2020〕17号 - 11</w:t>
      </w:r>
    </w:p>
    <w:p w:rsidR="0038150A" w:rsidRPr="00FA5006" w:rsidRDefault="0038150A" w:rsidP="0038150A">
      <w:pPr>
        <w:pStyle w:val="a5"/>
        <w:spacing w:line="240" w:lineRule="exact"/>
        <w:jc w:val="center"/>
        <w:rPr>
          <w:rFonts w:ascii="微软雅黑" w:eastAsia="微软雅黑" w:hAnsi="微软雅黑" w:cs="宋体" w:hint="eastAsia"/>
          <w:sz w:val="22"/>
          <w:szCs w:val="22"/>
        </w:rPr>
      </w:pPr>
    </w:p>
    <w:p w:rsidR="00D03199" w:rsidRPr="0038150A" w:rsidRDefault="00D03199" w:rsidP="0038150A">
      <w:pPr>
        <w:pStyle w:val="a5"/>
        <w:spacing w:line="240" w:lineRule="exact"/>
        <w:ind w:leftChars="200" w:left="420" w:rightChars="200" w:right="420" w:firstLineChars="200" w:firstLine="420"/>
        <w:jc w:val="left"/>
        <w:rPr>
          <w:rFonts w:ascii="微软雅黑" w:eastAsia="微软雅黑" w:hAnsi="微软雅黑" w:cs="宋体"/>
        </w:rPr>
      </w:pPr>
      <w:r w:rsidRPr="0038150A">
        <w:rPr>
          <w:rFonts w:ascii="微软雅黑" w:eastAsia="微软雅黑" w:hAnsi="微软雅黑" w:cs="宋体" w:hint="eastAsia"/>
        </w:rPr>
        <w:t>（2008年8月11日最高人民法院审判委员会第1450次会议通过，根据2020年12月23日最高人民法院审判委员会第1823次会议通过的</w:t>
      </w:r>
      <w:proofErr w:type="gramStart"/>
      <w:r w:rsidRPr="0038150A">
        <w:rPr>
          <w:rFonts w:ascii="微软雅黑" w:eastAsia="微软雅黑" w:hAnsi="微软雅黑" w:cs="宋体" w:hint="eastAsia"/>
        </w:rPr>
        <w:t>《</w:t>
      </w:r>
      <w:proofErr w:type="gramEnd"/>
      <w:r w:rsidRPr="0038150A">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38150A">
        <w:rPr>
          <w:rFonts w:ascii="微软雅黑" w:eastAsia="微软雅黑" w:hAnsi="微软雅黑" w:cs="宋体" w:hint="eastAsia"/>
        </w:rPr>
        <w:t>》</w:t>
      </w:r>
      <w:proofErr w:type="gramEnd"/>
      <w:r w:rsidRPr="0038150A">
        <w:rPr>
          <w:rFonts w:ascii="微软雅黑" w:eastAsia="微软雅黑" w:hAnsi="微软雅黑" w:cs="宋体" w:hint="eastAsia"/>
        </w:rPr>
        <w:t>修正）</w:t>
      </w:r>
    </w:p>
    <w:p w:rsidR="00D03199" w:rsidRPr="0038150A" w:rsidRDefault="00D03199" w:rsidP="0038150A">
      <w:pPr>
        <w:pStyle w:val="a5"/>
        <w:spacing w:line="280" w:lineRule="exact"/>
        <w:ind w:firstLineChars="200" w:firstLine="480"/>
        <w:rPr>
          <w:rFonts w:ascii="微软雅黑" w:eastAsia="微软雅黑" w:hAnsi="微软雅黑" w:cs="宋体"/>
          <w:sz w:val="24"/>
          <w:szCs w:val="24"/>
        </w:rPr>
      </w:pPr>
    </w:p>
    <w:p w:rsidR="00210728" w:rsidRDefault="00D03199" w:rsidP="0038150A">
      <w:pPr>
        <w:pStyle w:val="a5"/>
        <w:spacing w:line="280" w:lineRule="exact"/>
        <w:ind w:firstLineChars="200" w:firstLine="480"/>
        <w:rPr>
          <w:rFonts w:ascii="微软雅黑" w:eastAsia="微软雅黑" w:hAnsi="微软雅黑" w:cs="宋体"/>
          <w:sz w:val="24"/>
          <w:szCs w:val="24"/>
        </w:rPr>
      </w:pPr>
      <w:r w:rsidRPr="0038150A">
        <w:rPr>
          <w:rFonts w:ascii="微软雅黑" w:eastAsia="微软雅黑" w:hAnsi="微软雅黑" w:cs="宋体" w:hint="eastAsia"/>
          <w:sz w:val="24"/>
          <w:szCs w:val="24"/>
        </w:rPr>
        <w:t>为正确适用法律关于诉讼时效制度的规定，保护当事人的合法权益，依照《中华人民共和国民法典》《中华人民共和国民事诉讼法》等法律的规定，结合审判实践，制定本规定。</w:t>
      </w:r>
    </w:p>
    <w:p w:rsidR="0038150A" w:rsidRPr="0038150A" w:rsidRDefault="0038150A" w:rsidP="0038150A">
      <w:pPr>
        <w:pStyle w:val="a5"/>
        <w:spacing w:line="320" w:lineRule="exact"/>
        <w:ind w:firstLineChars="200" w:firstLine="480"/>
        <w:rPr>
          <w:rFonts w:ascii="微软雅黑" w:eastAsia="微软雅黑" w:hAnsi="微软雅黑" w:cs="宋体" w:hint="eastAsia"/>
          <w:sz w:val="24"/>
          <w:szCs w:val="24"/>
        </w:rPr>
      </w:pP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第一条</w:t>
      </w:r>
      <w:r w:rsidRPr="00A5146D">
        <w:rPr>
          <w:rFonts w:ascii="微软雅黑" w:eastAsia="微软雅黑" w:hAnsi="微软雅黑" w:cs="宋体" w:hint="eastAsia"/>
          <w:sz w:val="24"/>
          <w:szCs w:val="24"/>
        </w:rPr>
        <w:t xml:space="preserve">　当事人可以对债权请求权提出诉讼时效抗辩，但对下列债权请求权提出诉讼时效抗辩的，人民法院不予支持：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（一）支付存款本金及利息请求权；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（二）兑付国债、金融债券以及向不特定对象发行的企业债券本息请求权；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（三）基于投资关系产生的缴付出资请求权；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（四）其他依法不适用诉讼时效规定的债权请求权。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第二条</w:t>
      </w:r>
      <w:r w:rsidRPr="00A5146D">
        <w:rPr>
          <w:rFonts w:ascii="微软雅黑" w:eastAsia="微软雅黑" w:hAnsi="微软雅黑" w:cs="宋体" w:hint="eastAsia"/>
          <w:sz w:val="24"/>
          <w:szCs w:val="24"/>
        </w:rPr>
        <w:t xml:space="preserve">　当事人未提出诉讼时效抗辩，人民法院不应对诉讼时效问题进行释明。</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第三条</w:t>
      </w:r>
      <w:r w:rsidRPr="00A5146D">
        <w:rPr>
          <w:rFonts w:ascii="微软雅黑" w:eastAsia="微软雅黑" w:hAnsi="微软雅黑" w:cs="宋体" w:hint="eastAsia"/>
          <w:sz w:val="24"/>
          <w:szCs w:val="24"/>
        </w:rPr>
        <w:t xml:space="preserve">　当事人在一审期间未提出诉讼时效抗辩，在二审期间提出的，人民法院不予支持，但其基于新的证据能够证明对方当事人的请求权已过诉讼时效期间的情形除外。</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当事人未按照前款规定提出诉讼时效抗辩，以诉讼时效期间届满为由申请再审或者提出再审抗辩的，人民法院不予支持。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第四条</w:t>
      </w:r>
      <w:r w:rsidRPr="00A5146D">
        <w:rPr>
          <w:rFonts w:ascii="微软雅黑" w:eastAsia="微软雅黑" w:hAnsi="微软雅黑" w:cs="宋体" w:hint="eastAsia"/>
          <w:sz w:val="24"/>
          <w:szCs w:val="24"/>
        </w:rPr>
        <w:t xml:space="preserve">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第五条</w:t>
      </w:r>
      <w:r w:rsidRPr="00A5146D">
        <w:rPr>
          <w:rFonts w:ascii="微软雅黑" w:eastAsia="微软雅黑" w:hAnsi="微软雅黑" w:cs="宋体" w:hint="eastAsia"/>
          <w:sz w:val="24"/>
          <w:szCs w:val="24"/>
        </w:rPr>
        <w:t xml:space="preserve">　享有撤销权的当事人一方请求撤销合同的，应适用民法典关于除</w:t>
      </w:r>
      <w:proofErr w:type="gramStart"/>
      <w:r w:rsidRPr="00A5146D">
        <w:rPr>
          <w:rFonts w:ascii="微软雅黑" w:eastAsia="微软雅黑" w:hAnsi="微软雅黑" w:cs="宋体" w:hint="eastAsia"/>
          <w:sz w:val="24"/>
          <w:szCs w:val="24"/>
        </w:rPr>
        <w:t>斥期间</w:t>
      </w:r>
      <w:proofErr w:type="gramEnd"/>
      <w:r w:rsidRPr="00A5146D">
        <w:rPr>
          <w:rFonts w:ascii="微软雅黑" w:eastAsia="微软雅黑" w:hAnsi="微软雅黑" w:cs="宋体" w:hint="eastAsia"/>
          <w:sz w:val="24"/>
          <w:szCs w:val="24"/>
        </w:rPr>
        <w:t>的规定。对方当事人对撤销合同请求权提出诉讼时效抗辩的，人民法院不予支持。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合同被撤销，返还财产、赔偿损失请求权的诉讼时效期间从合同被撤销之日起计算。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第六条</w:t>
      </w:r>
      <w:r w:rsidRPr="00A5146D">
        <w:rPr>
          <w:rFonts w:ascii="微软雅黑" w:eastAsia="微软雅黑" w:hAnsi="微软雅黑" w:cs="宋体" w:hint="eastAsia"/>
          <w:sz w:val="24"/>
          <w:szCs w:val="24"/>
        </w:rPr>
        <w:t xml:space="preserve">　返还不当得利请求权的诉讼时效期间，从当事人一方知道或者应当知道不当得利事实及对方当事人之日起计算。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第七条</w:t>
      </w:r>
      <w:r w:rsidRPr="00A5146D">
        <w:rPr>
          <w:rFonts w:ascii="微软雅黑" w:eastAsia="微软雅黑" w:hAnsi="微软雅黑" w:cs="宋体" w:hint="eastAsia"/>
          <w:sz w:val="24"/>
          <w:szCs w:val="24"/>
        </w:rPr>
        <w:t xml:space="preserve">　管理人因无因管理行为产生的给付必要管理费用、赔偿损失请求权的诉讼时效期间，从无因管理行为结束并且管理人知道或者应当知道本人之日起计算。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本人因不当无因管理行为产生的赔偿损失请求权的诉讼时效期间，从其知道或者应当知道管理人及损害事实之日起计算。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第八条</w:t>
      </w:r>
      <w:r w:rsidRPr="00A5146D">
        <w:rPr>
          <w:rFonts w:ascii="微软雅黑" w:eastAsia="微软雅黑" w:hAnsi="微软雅黑" w:cs="宋体" w:hint="eastAsia"/>
          <w:sz w:val="24"/>
          <w:szCs w:val="24"/>
        </w:rPr>
        <w:t xml:space="preserve">　具有下列情形之一的，应当认定为民法典第一百九十五条规定的“权利人向义务人提出履行请求”，产生诉讼时效中断的效力：</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（一）当事人一方直接向对方当事人送交主张权利文书，对方当事人在文书上签名、盖章、按指印或者虽未签名、盖章、按指印但能够以其他方式证明该文书到达对方当事人的；</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（二）当事人一方以发送信件或者数据电文方式主张权利，信件或者数据电文到达或者应当到达对方当事人的；</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（三）当事人一方为金融机构，依照法律规定或者当事人约定从对方当事人账户中扣收欠款本息的；</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（四）当事人一方下落不明，对方当事人在国家级或者下落不明的当事人一方住所地的省级有影响的媒体上刊登具有主张权利内容的公告的，但法律和司法解释另有特别规定的，适用其规定。</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lastRenderedPageBreak/>
        <w:t>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第九条</w:t>
      </w:r>
      <w:r w:rsidRPr="00A5146D">
        <w:rPr>
          <w:rFonts w:ascii="微软雅黑" w:eastAsia="微软雅黑" w:hAnsi="微软雅黑" w:cs="宋体" w:hint="eastAsia"/>
          <w:sz w:val="24"/>
          <w:szCs w:val="24"/>
        </w:rPr>
        <w:t xml:space="preserve">　权利人对同一债权中的部分债权主张权利，诉讼时效中断的效力及于剩余债权，但权利人明确表示放弃剩余债权的情形除外。</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第十条</w:t>
      </w:r>
      <w:r w:rsidRPr="00A5146D">
        <w:rPr>
          <w:rFonts w:ascii="微软雅黑" w:eastAsia="微软雅黑" w:hAnsi="微软雅黑" w:cs="宋体" w:hint="eastAsia"/>
          <w:sz w:val="24"/>
          <w:szCs w:val="24"/>
        </w:rPr>
        <w:t xml:space="preserve">　当事人</w:t>
      </w:r>
      <w:proofErr w:type="gramStart"/>
      <w:r w:rsidRPr="00A5146D">
        <w:rPr>
          <w:rFonts w:ascii="微软雅黑" w:eastAsia="微软雅黑" w:hAnsi="微软雅黑" w:cs="宋体" w:hint="eastAsia"/>
          <w:sz w:val="24"/>
          <w:szCs w:val="24"/>
        </w:rPr>
        <w:t>一</w:t>
      </w:r>
      <w:proofErr w:type="gramEnd"/>
      <w:r w:rsidRPr="00A5146D">
        <w:rPr>
          <w:rFonts w:ascii="微软雅黑" w:eastAsia="微软雅黑" w:hAnsi="微软雅黑" w:cs="宋体" w:hint="eastAsia"/>
          <w:sz w:val="24"/>
          <w:szCs w:val="24"/>
        </w:rPr>
        <w:t>方向人民法院提交起诉状或者口头起诉的，诉讼时效从提交起诉状或者口头起诉之日起中断。</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第十一条</w:t>
      </w:r>
      <w:r w:rsidRPr="00A5146D">
        <w:rPr>
          <w:rFonts w:ascii="微软雅黑" w:eastAsia="微软雅黑" w:hAnsi="微软雅黑" w:cs="宋体" w:hint="eastAsia"/>
          <w:sz w:val="24"/>
          <w:szCs w:val="24"/>
        </w:rPr>
        <w:t xml:space="preserve">　下列事项之一，人民法院应当认定与提起诉讼具有同等诉讼时效中断的效力：</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（一）申请支付令；</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（二）申请破产、申报破产债权；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（三）为主张权利而申请宣告义务人失踪或死亡；</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（四）申请诉前财产保全、诉前临时禁令等诉前措施</w:t>
      </w:r>
      <w:bookmarkStart w:id="0" w:name="_GoBack"/>
      <w:bookmarkEnd w:id="0"/>
      <w:r w:rsidRPr="00A5146D">
        <w:rPr>
          <w:rFonts w:ascii="微软雅黑" w:eastAsia="微软雅黑" w:hAnsi="微软雅黑" w:cs="宋体" w:hint="eastAsia"/>
          <w:sz w:val="24"/>
          <w:szCs w:val="24"/>
        </w:rPr>
        <w:t>；</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（五）申请强制执行；</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（六）申请追加当事人或者被通知参加诉讼；</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（七）在诉讼中主张</w:t>
      </w:r>
      <w:proofErr w:type="gramStart"/>
      <w:r w:rsidRPr="00A5146D">
        <w:rPr>
          <w:rFonts w:ascii="微软雅黑" w:eastAsia="微软雅黑" w:hAnsi="微软雅黑" w:cs="宋体" w:hint="eastAsia"/>
          <w:sz w:val="24"/>
          <w:szCs w:val="24"/>
        </w:rPr>
        <w:t>抵销</w:t>
      </w:r>
      <w:proofErr w:type="gramEnd"/>
      <w:r w:rsidRPr="00A5146D">
        <w:rPr>
          <w:rFonts w:ascii="微软雅黑" w:eastAsia="微软雅黑" w:hAnsi="微软雅黑" w:cs="宋体" w:hint="eastAsia"/>
          <w:sz w:val="24"/>
          <w:szCs w:val="24"/>
        </w:rPr>
        <w:t>；</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（八）其他与提起诉讼具有同等诉讼时效中断效力的事项。</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第十二条</w:t>
      </w:r>
      <w:r w:rsidRPr="00A5146D">
        <w:rPr>
          <w:rFonts w:ascii="微软雅黑" w:eastAsia="微软雅黑" w:hAnsi="微软雅黑" w:cs="宋体" w:hint="eastAsia"/>
          <w:sz w:val="24"/>
          <w:szCs w:val="24"/>
        </w:rPr>
        <w:t xml:space="preserve">　权利人向人民调解委员会以及其他依法有权解决相关民事纠纷的国家机关、事业单位、社会团体等社会组织提出保护相应民事权利的请求，诉讼时效从提出请求之日起中断。</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第十三条</w:t>
      </w:r>
      <w:r w:rsidRPr="00A5146D">
        <w:rPr>
          <w:rFonts w:ascii="微软雅黑" w:eastAsia="微软雅黑" w:hAnsi="微软雅黑" w:cs="宋体" w:hint="eastAsia"/>
          <w:sz w:val="24"/>
          <w:szCs w:val="24"/>
        </w:rPr>
        <w:t xml:space="preserve">　权利人向公安机关、人民检察院、人民法院报案或者控告，请求保护其民事权利的，诉讼时效从其报案或者控告之日起中断。</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上述机关决定不立案、撤销案件、不起诉的，诉讼时效期间从权利人知道或者应当知道不立案、撤销案件或者不起诉之日起重新计算；刑事案件进入审理阶段，诉讼时效期间从刑事裁判文书生效之日起重新计算。</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第十四条</w:t>
      </w:r>
      <w:r w:rsidRPr="00A5146D">
        <w:rPr>
          <w:rFonts w:ascii="微软雅黑" w:eastAsia="微软雅黑" w:hAnsi="微软雅黑" w:cs="宋体" w:hint="eastAsia"/>
          <w:sz w:val="24"/>
          <w:szCs w:val="24"/>
        </w:rPr>
        <w:t xml:space="preserve">　义务人</w:t>
      </w:r>
      <w:proofErr w:type="gramStart"/>
      <w:r w:rsidRPr="00A5146D">
        <w:rPr>
          <w:rFonts w:ascii="微软雅黑" w:eastAsia="微软雅黑" w:hAnsi="微软雅黑" w:cs="宋体" w:hint="eastAsia"/>
          <w:sz w:val="24"/>
          <w:szCs w:val="24"/>
        </w:rPr>
        <w:t>作出</w:t>
      </w:r>
      <w:proofErr w:type="gramEnd"/>
      <w:r w:rsidRPr="00A5146D">
        <w:rPr>
          <w:rFonts w:ascii="微软雅黑" w:eastAsia="微软雅黑" w:hAnsi="微软雅黑" w:cs="宋体" w:hint="eastAsia"/>
          <w:sz w:val="24"/>
          <w:szCs w:val="24"/>
        </w:rPr>
        <w:t>分期履行、部分履行、提供担保、请求延期履行、制定清偿债务计划等承诺或者行为的，应当认定为民法典第一百九十五条规定的“义务人同意履行义务”。</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第十五条</w:t>
      </w:r>
      <w:r w:rsidRPr="00A5146D">
        <w:rPr>
          <w:rFonts w:ascii="微软雅黑" w:eastAsia="微软雅黑" w:hAnsi="微软雅黑" w:cs="宋体" w:hint="eastAsia"/>
          <w:sz w:val="24"/>
          <w:szCs w:val="24"/>
        </w:rPr>
        <w:t xml:space="preserve">　对于连带债权人中的一人发生诉讼时效中断效力的事由，应当认定对其他连带债权人也发生诉讼时效中断的效力。</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对于连带债务人中的一人发生诉讼时效中断效力的事由，应当认定对其他连带债务人也发生诉讼时效中断的效力。</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第十六条</w:t>
      </w:r>
      <w:r w:rsidRPr="00A5146D">
        <w:rPr>
          <w:rFonts w:ascii="微软雅黑" w:eastAsia="微软雅黑" w:hAnsi="微软雅黑" w:cs="宋体" w:hint="eastAsia"/>
          <w:sz w:val="24"/>
          <w:szCs w:val="24"/>
        </w:rPr>
        <w:t xml:space="preserve">　债权人提起代位权诉讼的，应当认定对债权人的债权和债务人的债权均发生诉讼时效中断的效力。</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第十七条</w:t>
      </w:r>
      <w:r w:rsidRPr="00A5146D">
        <w:rPr>
          <w:rFonts w:ascii="微软雅黑" w:eastAsia="微软雅黑" w:hAnsi="微软雅黑" w:cs="宋体" w:hint="eastAsia"/>
          <w:sz w:val="24"/>
          <w:szCs w:val="24"/>
        </w:rPr>
        <w:t xml:space="preserve">　债权转让的，应当认定诉讼时效从债权转让通知到达债务人之日起中断。</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债务承担情形下，构成原债务人对债务承认的，应当认定诉讼时效从债务承担意思表示到达债权人之日起中断。</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第十八条</w:t>
      </w:r>
      <w:r w:rsidRPr="00A5146D">
        <w:rPr>
          <w:rFonts w:ascii="微软雅黑" w:eastAsia="微软雅黑" w:hAnsi="微软雅黑" w:cs="宋体" w:hint="eastAsia"/>
          <w:sz w:val="24"/>
          <w:szCs w:val="24"/>
        </w:rPr>
        <w:t xml:space="preserve">　主债务诉讼时效期间届满，保证人享有主债务人的诉讼时效抗辩权。</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保证人未主张前述诉讼时效抗辩权，承担保证责任后向主债务人行使追偿权的，人民法院不予支持，但主债务人同意给付的情形除外。</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第十九条</w:t>
      </w:r>
      <w:r w:rsidRPr="00A5146D">
        <w:rPr>
          <w:rFonts w:ascii="微软雅黑" w:eastAsia="微软雅黑" w:hAnsi="微软雅黑" w:cs="宋体" w:hint="eastAsia"/>
          <w:sz w:val="24"/>
          <w:szCs w:val="24"/>
        </w:rPr>
        <w:t xml:space="preserve">　诉讼时效期间届满，当事人</w:t>
      </w:r>
      <w:proofErr w:type="gramStart"/>
      <w:r w:rsidRPr="00A5146D">
        <w:rPr>
          <w:rFonts w:ascii="微软雅黑" w:eastAsia="微软雅黑" w:hAnsi="微软雅黑" w:cs="宋体" w:hint="eastAsia"/>
          <w:sz w:val="24"/>
          <w:szCs w:val="24"/>
        </w:rPr>
        <w:t>一</w:t>
      </w:r>
      <w:proofErr w:type="gramEnd"/>
      <w:r w:rsidRPr="00A5146D">
        <w:rPr>
          <w:rFonts w:ascii="微软雅黑" w:eastAsia="微软雅黑" w:hAnsi="微软雅黑" w:cs="宋体" w:hint="eastAsia"/>
          <w:sz w:val="24"/>
          <w:szCs w:val="24"/>
        </w:rPr>
        <w:t>方向对方当事人</w:t>
      </w:r>
      <w:proofErr w:type="gramStart"/>
      <w:r w:rsidRPr="00A5146D">
        <w:rPr>
          <w:rFonts w:ascii="微软雅黑" w:eastAsia="微软雅黑" w:hAnsi="微软雅黑" w:cs="宋体" w:hint="eastAsia"/>
          <w:sz w:val="24"/>
          <w:szCs w:val="24"/>
        </w:rPr>
        <w:t>作出</w:t>
      </w:r>
      <w:proofErr w:type="gramEnd"/>
      <w:r w:rsidRPr="00A5146D">
        <w:rPr>
          <w:rFonts w:ascii="微软雅黑" w:eastAsia="微软雅黑" w:hAnsi="微软雅黑" w:cs="宋体" w:hint="eastAsia"/>
          <w:sz w:val="24"/>
          <w:szCs w:val="24"/>
        </w:rPr>
        <w:t>同意履行义务的意思表示或者自愿履行义务后，又以诉讼时效期间届满为由进行抗辩的，人民法院不予支持。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当事人双方就原债务达成新的协议，债权人主张义务人放弃诉讼时效抗辩权的，人民法院应</w:t>
      </w:r>
      <w:proofErr w:type="gramStart"/>
      <w:r w:rsidRPr="00A5146D">
        <w:rPr>
          <w:rFonts w:ascii="微软雅黑" w:eastAsia="微软雅黑" w:hAnsi="微软雅黑" w:cs="宋体" w:hint="eastAsia"/>
          <w:sz w:val="24"/>
          <w:szCs w:val="24"/>
        </w:rPr>
        <w:t>予支</w:t>
      </w:r>
      <w:proofErr w:type="gramEnd"/>
      <w:r w:rsidRPr="00A5146D">
        <w:rPr>
          <w:rFonts w:ascii="微软雅黑" w:eastAsia="微软雅黑" w:hAnsi="微软雅黑" w:cs="宋体" w:hint="eastAsia"/>
          <w:sz w:val="24"/>
          <w:szCs w:val="24"/>
        </w:rPr>
        <w:t>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sz w:val="24"/>
          <w:szCs w:val="24"/>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A5146D">
        <w:rPr>
          <w:rFonts w:ascii="微软雅黑" w:eastAsia="微软雅黑" w:hAnsi="微软雅黑" w:cs="宋体" w:hint="eastAsia"/>
          <w:sz w:val="24"/>
          <w:szCs w:val="24"/>
        </w:rPr>
        <w:t>予支</w:t>
      </w:r>
      <w:proofErr w:type="gramEnd"/>
      <w:r w:rsidRPr="00A5146D">
        <w:rPr>
          <w:rFonts w:ascii="微软雅黑" w:eastAsia="微软雅黑" w:hAnsi="微软雅黑" w:cs="宋体" w:hint="eastAsia"/>
          <w:sz w:val="24"/>
          <w:szCs w:val="24"/>
        </w:rPr>
        <w:t>持。</w:t>
      </w:r>
    </w:p>
    <w:p w:rsidR="00D03199" w:rsidRPr="00A5146D" w:rsidRDefault="00D03199" w:rsidP="0038150A">
      <w:pPr>
        <w:pStyle w:val="a5"/>
        <w:spacing w:line="320" w:lineRule="exact"/>
        <w:ind w:firstLineChars="200" w:firstLine="480"/>
        <w:rPr>
          <w:rFonts w:ascii="微软雅黑" w:eastAsia="微软雅黑" w:hAnsi="微软雅黑" w:cs="宋体"/>
          <w:sz w:val="24"/>
          <w:szCs w:val="24"/>
        </w:rPr>
      </w:pPr>
      <w:r w:rsidRPr="00A5146D">
        <w:rPr>
          <w:rFonts w:ascii="微软雅黑" w:eastAsia="微软雅黑" w:hAnsi="微软雅黑" w:cs="宋体" w:hint="eastAsia"/>
          <w:b/>
          <w:sz w:val="24"/>
          <w:szCs w:val="24"/>
        </w:rPr>
        <w:t>第二十条</w:t>
      </w:r>
      <w:r w:rsidRPr="00A5146D">
        <w:rPr>
          <w:rFonts w:ascii="微软雅黑" w:eastAsia="微软雅黑" w:hAnsi="微软雅黑" w:cs="宋体" w:hint="eastAsia"/>
          <w:sz w:val="24"/>
          <w:szCs w:val="24"/>
        </w:rPr>
        <w:t xml:space="preserve">　本规定施行后，案件尚在一审或者二审阶段的，适用本规定；本规定施行前已经终审的案件，人民法院进行再审时，不适用本规定。</w:t>
      </w:r>
    </w:p>
    <w:p w:rsidR="00D03199" w:rsidRPr="00A5146D" w:rsidRDefault="00D03199" w:rsidP="0038150A">
      <w:pPr>
        <w:pStyle w:val="a5"/>
        <w:spacing w:line="320" w:lineRule="exact"/>
        <w:ind w:firstLineChars="200" w:firstLine="480"/>
        <w:rPr>
          <w:rFonts w:ascii="微软雅黑" w:eastAsia="微软雅黑" w:hAnsi="微软雅黑" w:cs="宋体" w:hint="eastAsia"/>
          <w:sz w:val="24"/>
          <w:szCs w:val="24"/>
        </w:rPr>
      </w:pPr>
      <w:r w:rsidRPr="00A5146D">
        <w:rPr>
          <w:rFonts w:ascii="微软雅黑" w:eastAsia="微软雅黑" w:hAnsi="微软雅黑" w:cs="宋体" w:hint="eastAsia"/>
          <w:b/>
          <w:sz w:val="24"/>
          <w:szCs w:val="24"/>
        </w:rPr>
        <w:t>第二十一条</w:t>
      </w:r>
      <w:r w:rsidRPr="00A5146D">
        <w:rPr>
          <w:rFonts w:ascii="微软雅黑" w:eastAsia="微软雅黑" w:hAnsi="微软雅黑" w:cs="宋体" w:hint="eastAsia"/>
          <w:sz w:val="24"/>
          <w:szCs w:val="24"/>
        </w:rPr>
        <w:t xml:space="preserve">　本规定施行前本院</w:t>
      </w:r>
      <w:proofErr w:type="gramStart"/>
      <w:r w:rsidRPr="00A5146D">
        <w:rPr>
          <w:rFonts w:ascii="微软雅黑" w:eastAsia="微软雅黑" w:hAnsi="微软雅黑" w:cs="宋体" w:hint="eastAsia"/>
          <w:sz w:val="24"/>
          <w:szCs w:val="24"/>
        </w:rPr>
        <w:t>作出</w:t>
      </w:r>
      <w:proofErr w:type="gramEnd"/>
      <w:r w:rsidRPr="00A5146D">
        <w:rPr>
          <w:rFonts w:ascii="微软雅黑" w:eastAsia="微软雅黑" w:hAnsi="微软雅黑" w:cs="宋体" w:hint="eastAsia"/>
          <w:sz w:val="24"/>
          <w:szCs w:val="24"/>
        </w:rPr>
        <w:t>的有关司法解释与本规定相抵触的，以本规定为准。</w:t>
      </w:r>
    </w:p>
    <w:sectPr w:rsidR="00D03199" w:rsidRPr="00A5146D" w:rsidSect="0038150A">
      <w:footerReference w:type="even" r:id="rId6"/>
      <w:footerReference w:type="default" r:id="rId7"/>
      <w:pgSz w:w="11906" w:h="16838"/>
      <w:pgMar w:top="720" w:right="720" w:bottom="720" w:left="720" w:header="283" w:footer="283"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CA9" w:rsidRDefault="00E77CA9">
      <w:r>
        <w:separator/>
      </w:r>
    </w:p>
  </w:endnote>
  <w:endnote w:type="continuationSeparator" w:id="0">
    <w:p w:rsidR="00E77CA9" w:rsidRDefault="00E7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199" w:rsidRDefault="00D03199">
    <w:pPr>
      <w:pStyle w:val="aa"/>
      <w:framePr w:wrap="around" w:vAnchor="text" w:hAnchor="margin" w:xAlign="outside" w:y="1"/>
      <w:rPr>
        <w:rStyle w:val="a3"/>
      </w:rPr>
    </w:pPr>
    <w:r>
      <w:fldChar w:fldCharType="begin"/>
    </w:r>
    <w:r>
      <w:rPr>
        <w:rStyle w:val="a3"/>
      </w:rPr>
      <w:instrText xml:space="preserve">PAGE  </w:instrText>
    </w:r>
    <w:r>
      <w:fldChar w:fldCharType="separate"/>
    </w:r>
    <w:r w:rsidR="00210728">
      <w:rPr>
        <w:rStyle w:val="a3"/>
        <w:noProof/>
      </w:rPr>
      <w:t>0</w:t>
    </w:r>
    <w:r>
      <w:fldChar w:fldCharType="end"/>
    </w:r>
  </w:p>
  <w:p w:rsidR="00D03199" w:rsidRDefault="00D03199">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606170"/>
      <w:docPartObj>
        <w:docPartGallery w:val="Page Numbers (Bottom of Page)"/>
        <w:docPartUnique/>
      </w:docPartObj>
    </w:sdtPr>
    <w:sdtContent>
      <w:p w:rsidR="0038150A" w:rsidRDefault="0038150A">
        <w:pPr>
          <w:pStyle w:val="aa"/>
          <w:jc w:val="right"/>
        </w:pPr>
        <w:r w:rsidRPr="0038150A">
          <w:rPr>
            <w:sz w:val="28"/>
            <w:szCs w:val="28"/>
          </w:rPr>
          <w:fldChar w:fldCharType="begin"/>
        </w:r>
        <w:r w:rsidRPr="0038150A">
          <w:rPr>
            <w:sz w:val="28"/>
            <w:szCs w:val="28"/>
          </w:rPr>
          <w:instrText>PAGE   \* MERGEFORMAT</w:instrText>
        </w:r>
        <w:r w:rsidRPr="0038150A">
          <w:rPr>
            <w:sz w:val="28"/>
            <w:szCs w:val="28"/>
          </w:rPr>
          <w:fldChar w:fldCharType="separate"/>
        </w:r>
        <w:r w:rsidRPr="0038150A">
          <w:rPr>
            <w:sz w:val="28"/>
            <w:szCs w:val="28"/>
            <w:lang w:val="zh-CN"/>
          </w:rPr>
          <w:t>2</w:t>
        </w:r>
        <w:r w:rsidRPr="0038150A">
          <w:rPr>
            <w:sz w:val="28"/>
            <w:szCs w:val="28"/>
          </w:rPr>
          <w:fldChar w:fldCharType="end"/>
        </w:r>
      </w:p>
    </w:sdtContent>
  </w:sdt>
  <w:p w:rsidR="00D03199" w:rsidRDefault="00D03199" w:rsidP="0038150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CA9" w:rsidRDefault="00E77CA9">
      <w:r>
        <w:separator/>
      </w:r>
    </w:p>
  </w:footnote>
  <w:footnote w:type="continuationSeparator" w:id="0">
    <w:p w:rsidR="00E77CA9" w:rsidRDefault="00E7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20F4"/>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0728"/>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150A"/>
    <w:rsid w:val="00384827"/>
    <w:rsid w:val="003854B1"/>
    <w:rsid w:val="003871CA"/>
    <w:rsid w:val="003902DE"/>
    <w:rsid w:val="00390825"/>
    <w:rsid w:val="00394561"/>
    <w:rsid w:val="00395336"/>
    <w:rsid w:val="003A38EC"/>
    <w:rsid w:val="003A4951"/>
    <w:rsid w:val="003B50D6"/>
    <w:rsid w:val="003C0536"/>
    <w:rsid w:val="003D7E4C"/>
    <w:rsid w:val="003E737D"/>
    <w:rsid w:val="003F534F"/>
    <w:rsid w:val="00401F9F"/>
    <w:rsid w:val="0040207F"/>
    <w:rsid w:val="00403942"/>
    <w:rsid w:val="00422EA0"/>
    <w:rsid w:val="00424C9C"/>
    <w:rsid w:val="00430221"/>
    <w:rsid w:val="00431DB2"/>
    <w:rsid w:val="00432CA7"/>
    <w:rsid w:val="004358E6"/>
    <w:rsid w:val="00440B14"/>
    <w:rsid w:val="00447D9F"/>
    <w:rsid w:val="00454D12"/>
    <w:rsid w:val="00463561"/>
    <w:rsid w:val="0046510C"/>
    <w:rsid w:val="00466953"/>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639F"/>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8697E"/>
    <w:rsid w:val="00790C7E"/>
    <w:rsid w:val="007A51E0"/>
    <w:rsid w:val="007A6544"/>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07C5"/>
    <w:rsid w:val="00911248"/>
    <w:rsid w:val="00913A4E"/>
    <w:rsid w:val="00925F75"/>
    <w:rsid w:val="009369EC"/>
    <w:rsid w:val="0094340F"/>
    <w:rsid w:val="00945B63"/>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12DB0"/>
    <w:rsid w:val="00A20EDD"/>
    <w:rsid w:val="00A212C7"/>
    <w:rsid w:val="00A23406"/>
    <w:rsid w:val="00A27EDD"/>
    <w:rsid w:val="00A35D41"/>
    <w:rsid w:val="00A40953"/>
    <w:rsid w:val="00A44C88"/>
    <w:rsid w:val="00A459E3"/>
    <w:rsid w:val="00A5146D"/>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32ED8"/>
    <w:rsid w:val="00C35BCE"/>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3199"/>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246"/>
    <w:rsid w:val="00E74BD4"/>
    <w:rsid w:val="00E77CA9"/>
    <w:rsid w:val="00E854B0"/>
    <w:rsid w:val="00E85957"/>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A5006"/>
    <w:rsid w:val="00FB46C7"/>
    <w:rsid w:val="00FC2B5F"/>
    <w:rsid w:val="00FC2D0C"/>
    <w:rsid w:val="00FD0009"/>
    <w:rsid w:val="00FD51B5"/>
    <w:rsid w:val="00FE2ABF"/>
    <w:rsid w:val="00FF402A"/>
    <w:rsid w:val="00FF690A"/>
    <w:rsid w:val="068469B4"/>
    <w:rsid w:val="069E3BE4"/>
    <w:rsid w:val="07964AB5"/>
    <w:rsid w:val="0B825A33"/>
    <w:rsid w:val="0C0834C7"/>
    <w:rsid w:val="0EA7448D"/>
    <w:rsid w:val="14D71881"/>
    <w:rsid w:val="17D073C8"/>
    <w:rsid w:val="1C2A3428"/>
    <w:rsid w:val="1C925F96"/>
    <w:rsid w:val="1E0A71BE"/>
    <w:rsid w:val="23EC0E3B"/>
    <w:rsid w:val="26F03C87"/>
    <w:rsid w:val="2D0D3DF4"/>
    <w:rsid w:val="2DDE133A"/>
    <w:rsid w:val="331E6CE5"/>
    <w:rsid w:val="338C3DAC"/>
    <w:rsid w:val="37F65C02"/>
    <w:rsid w:val="396E02EF"/>
    <w:rsid w:val="3AA25129"/>
    <w:rsid w:val="468700B9"/>
    <w:rsid w:val="478663EF"/>
    <w:rsid w:val="497A654E"/>
    <w:rsid w:val="49F41E37"/>
    <w:rsid w:val="510E3492"/>
    <w:rsid w:val="523F5852"/>
    <w:rsid w:val="5708400C"/>
    <w:rsid w:val="5A227BDF"/>
    <w:rsid w:val="6F6E05E0"/>
    <w:rsid w:val="73534409"/>
    <w:rsid w:val="7B4C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86E378"/>
  <w15:docId w15:val="{F6C7C836-4EE5-468A-984A-7E2FBA1F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纯文本 字符"/>
    <w:basedOn w:val="a0"/>
    <w:link w:val="a5"/>
    <w:uiPriority w:val="99"/>
    <w:qFormat/>
    <w:rPr>
      <w:rFonts w:ascii="宋体" w:hAnsi="Courier New" w:cs="Courier New"/>
      <w:kern w:val="2"/>
      <w:sz w:val="21"/>
      <w:szCs w:val="21"/>
    </w:rPr>
  </w:style>
  <w:style w:type="character" w:customStyle="1" w:styleId="a6">
    <w:name w:val="页眉 字符"/>
    <w:basedOn w:val="a0"/>
    <w:link w:val="a7"/>
    <w:rPr>
      <w:kern w:val="2"/>
      <w:sz w:val="18"/>
      <w:szCs w:val="18"/>
    </w:rPr>
  </w:style>
  <w:style w:type="character" w:customStyle="1" w:styleId="a8">
    <w:name w:val="批注框文本 字符"/>
    <w:basedOn w:val="a0"/>
    <w:link w:val="a9"/>
    <w:rPr>
      <w:kern w:val="2"/>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9">
    <w:name w:val="Balloon Text"/>
    <w:basedOn w:val="a"/>
    <w:link w:val="a8"/>
    <w:qFormat/>
    <w:rPr>
      <w:sz w:val="18"/>
      <w:szCs w:val="18"/>
    </w:rPr>
  </w:style>
  <w:style w:type="paragraph" w:styleId="a5">
    <w:name w:val="Plain Text"/>
    <w:basedOn w:val="a"/>
    <w:link w:val="a4"/>
    <w:uiPriority w:val="99"/>
    <w:qFormat/>
    <w:rPr>
      <w:rFonts w:ascii="宋体" w:hAnsi="Courier New" w:cs="Courier New"/>
      <w:szCs w:val="21"/>
    </w:rPr>
  </w:style>
  <w:style w:type="paragraph" w:styleId="ac">
    <w:name w:val="Salutation"/>
    <w:basedOn w:val="a"/>
    <w:next w:val="a"/>
    <w:pPr>
      <w:jc w:val="center"/>
    </w:pPr>
    <w:rPr>
      <w:rFonts w:eastAsia="楷体"/>
      <w:sz w:val="32"/>
    </w:rPr>
  </w:style>
  <w:style w:type="paragraph" w:customStyle="1" w:styleId="ParaCharCharCharCharCharCharChar">
    <w:name w:val="默认段落字体 Para Char Char Char Char Char Char Char"/>
    <w:basedOn w:val="a"/>
  </w:style>
  <w:style w:type="character" w:customStyle="1" w:styleId="ab">
    <w:name w:val="页脚 字符"/>
    <w:basedOn w:val="a0"/>
    <w:link w:val="aa"/>
    <w:uiPriority w:val="99"/>
    <w:rsid w:val="002107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2348</Characters>
  <Application>Microsoft Office Word</Application>
  <DocSecurity>0</DocSecurity>
  <Lines>19</Lines>
  <Paragraphs>5</Paragraphs>
  <ScaleCrop>false</ScaleCrop>
  <Company>Lenovo (Beijing) Limited</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2023-03-10T07:23:00Z</cp:lastPrinted>
  <dcterms:created xsi:type="dcterms:W3CDTF">2023-10-28T04:41:00Z</dcterms:created>
  <dcterms:modified xsi:type="dcterms:W3CDTF">2025-09-18T02:23:00Z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